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9D" w:rsidRPr="00131EE1" w:rsidRDefault="0081549D" w:rsidP="0081549D">
      <w:pPr>
        <w:spacing w:line="440" w:lineRule="atLeast"/>
        <w:jc w:val="center"/>
        <w:rPr>
          <w:rFonts w:ascii="仿宋_GB2312" w:eastAsia="仿宋_GB2312"/>
          <w:b/>
        </w:rPr>
      </w:pPr>
      <w:r w:rsidRPr="00131EE1">
        <w:rPr>
          <w:rFonts w:ascii="仿宋_GB2312" w:eastAsia="仿宋_GB2312" w:hint="eastAsia"/>
          <w:b/>
        </w:rPr>
        <w:t>省部级及以上教研成果获奖情况（2005年以来）</w:t>
      </w:r>
    </w:p>
    <w:tbl>
      <w:tblPr>
        <w:tblStyle w:val="a5"/>
        <w:tblW w:w="7417" w:type="dxa"/>
        <w:jc w:val="center"/>
        <w:tblLook w:val="01E0" w:firstRow="1" w:lastRow="1" w:firstColumn="1" w:lastColumn="1" w:noHBand="0" w:noVBand="0"/>
      </w:tblPr>
      <w:tblGrid>
        <w:gridCol w:w="684"/>
        <w:gridCol w:w="2650"/>
        <w:gridCol w:w="1421"/>
        <w:gridCol w:w="1141"/>
        <w:gridCol w:w="850"/>
        <w:gridCol w:w="671"/>
      </w:tblGrid>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序号</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成果形式</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获奖名称</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获奖等级</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主要完成人</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获奖时间</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1</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学分制下本科教学质量管理体系再造的理论研究与实践探索</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国家级教学成果奖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二等奖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李子华</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周兴国</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2009</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基于学分制的本科教学质量管理体系再造与基本模型重构的理论和实践</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特等奖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李子华</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周兴国</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2008</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3</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构建“服务引领型”教师教育人才培养体系的理论与实践</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特等奖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阮成武</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朱家存</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2010</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4</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公共教育学整体教学改革研究</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一等奖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王守恒</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朱家存</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2008</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5</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color w:val="000000"/>
              </w:rPr>
              <w:t>国家级特色专业建设点“教育学”人才培养模式创新的实践探索</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一等奖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李宜江</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周兴国</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2012</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6</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大学生研究性学习的理论与实践研究</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二等奖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桑青松</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2005</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7</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color w:val="000000"/>
              </w:rPr>
              <w:t>《基础教育改革研究》课程体系建设与优化</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三等奖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周兴国</w:t>
            </w:r>
          </w:p>
          <w:p w:rsidR="0081549D" w:rsidRPr="00131EE1" w:rsidRDefault="0081549D" w:rsidP="00DA5D4A">
            <w:pPr>
              <w:spacing w:line="440" w:lineRule="atLeast"/>
              <w:rPr>
                <w:rFonts w:ascii="仿宋_GB2312" w:eastAsia="仿宋_GB2312"/>
              </w:rPr>
            </w:pPr>
            <w:r w:rsidRPr="00131EE1">
              <w:rPr>
                <w:rFonts w:ascii="仿宋_GB2312" w:eastAsia="仿宋_GB2312" w:hint="eastAsia"/>
              </w:rPr>
              <w:t>朱家存</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2010</w:t>
            </w:r>
          </w:p>
        </w:tc>
      </w:tr>
      <w:tr w:rsidR="0081549D" w:rsidRPr="00131EE1" w:rsidTr="00DA5D4A">
        <w:trPr>
          <w:jc w:val="center"/>
        </w:trPr>
        <w:tc>
          <w:tcPr>
            <w:tcW w:w="684"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8</w:t>
            </w:r>
          </w:p>
        </w:tc>
        <w:tc>
          <w:tcPr>
            <w:tcW w:w="26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《小学教育政策与法规》课程体系与优化</w:t>
            </w:r>
          </w:p>
        </w:tc>
        <w:tc>
          <w:tcPr>
            <w:tcW w:w="142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安徽省教学成果奖</w:t>
            </w:r>
          </w:p>
        </w:tc>
        <w:tc>
          <w:tcPr>
            <w:tcW w:w="114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三等奖</w:t>
            </w:r>
          </w:p>
        </w:tc>
        <w:tc>
          <w:tcPr>
            <w:tcW w:w="850"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阮成武</w:t>
            </w:r>
          </w:p>
        </w:tc>
        <w:tc>
          <w:tcPr>
            <w:tcW w:w="671" w:type="dxa"/>
          </w:tcPr>
          <w:p w:rsidR="0081549D" w:rsidRPr="00131EE1" w:rsidRDefault="0081549D" w:rsidP="00DA5D4A">
            <w:pPr>
              <w:spacing w:line="440" w:lineRule="atLeast"/>
              <w:rPr>
                <w:rFonts w:ascii="仿宋_GB2312" w:eastAsia="仿宋_GB2312"/>
              </w:rPr>
            </w:pPr>
            <w:r w:rsidRPr="00131EE1">
              <w:rPr>
                <w:rFonts w:ascii="仿宋_GB2312" w:eastAsia="仿宋_GB2312" w:hint="eastAsia"/>
              </w:rPr>
              <w:t>2008</w:t>
            </w:r>
          </w:p>
        </w:tc>
      </w:tr>
    </w:tbl>
    <w:p w:rsidR="0081549D" w:rsidRDefault="00581D9A" w:rsidP="0081549D">
      <w:pPr>
        <w:spacing w:line="440" w:lineRule="atLeast"/>
        <w:ind w:firstLineChars="200" w:firstLine="480"/>
        <w:rPr>
          <w:rFonts w:ascii="仿宋_GB2312" w:eastAsia="仿宋_GB2312"/>
          <w:sz w:val="24"/>
        </w:rPr>
      </w:pPr>
      <w:r>
        <w:rPr>
          <w:rFonts w:ascii="仿宋_GB2312" w:eastAsia="仿宋_GB2312" w:hint="eastAsia"/>
          <w:sz w:val="24"/>
        </w:rPr>
        <w:t>中心自2005年以来共有八项</w:t>
      </w:r>
      <w:bookmarkStart w:id="0" w:name="_GoBack"/>
      <w:r>
        <w:rPr>
          <w:rFonts w:ascii="仿宋_GB2312" w:eastAsia="仿宋_GB2312" w:hint="eastAsia"/>
          <w:sz w:val="24"/>
        </w:rPr>
        <w:t>教研成果获得</w:t>
      </w:r>
      <w:r w:rsidRPr="00581D9A">
        <w:rPr>
          <w:rFonts w:ascii="仿宋_GB2312" w:eastAsia="仿宋_GB2312" w:hint="eastAsia"/>
          <w:sz w:val="24"/>
        </w:rPr>
        <w:t>省部级及以上</w:t>
      </w:r>
      <w:r w:rsidRPr="00581D9A">
        <w:rPr>
          <w:rFonts w:ascii="仿宋_GB2312" w:eastAsia="仿宋_GB2312" w:hint="eastAsia"/>
          <w:sz w:val="24"/>
        </w:rPr>
        <w:t>奖励。详情见：</w:t>
      </w:r>
      <w:bookmarkEnd w:id="0"/>
    </w:p>
    <w:p w:rsidR="00D769F5" w:rsidRDefault="00D769F5"/>
    <w:sectPr w:rsidR="00D76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47" w:rsidRDefault="00AE3647" w:rsidP="0081549D">
      <w:r>
        <w:separator/>
      </w:r>
    </w:p>
  </w:endnote>
  <w:endnote w:type="continuationSeparator" w:id="0">
    <w:p w:rsidR="00AE3647" w:rsidRDefault="00AE3647" w:rsidP="0081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47" w:rsidRDefault="00AE3647" w:rsidP="0081549D">
      <w:r>
        <w:separator/>
      </w:r>
    </w:p>
  </w:footnote>
  <w:footnote w:type="continuationSeparator" w:id="0">
    <w:p w:rsidR="00AE3647" w:rsidRDefault="00AE3647" w:rsidP="00815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84"/>
    <w:rsid w:val="00067084"/>
    <w:rsid w:val="00581D9A"/>
    <w:rsid w:val="0081549D"/>
    <w:rsid w:val="00AE3647"/>
    <w:rsid w:val="00D769F5"/>
    <w:rsid w:val="00E1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9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549D"/>
    <w:rPr>
      <w:sz w:val="18"/>
      <w:szCs w:val="18"/>
    </w:rPr>
  </w:style>
  <w:style w:type="paragraph" w:styleId="a4">
    <w:name w:val="footer"/>
    <w:basedOn w:val="a"/>
    <w:link w:val="Char0"/>
    <w:uiPriority w:val="99"/>
    <w:unhideWhenUsed/>
    <w:rsid w:val="00815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549D"/>
    <w:rPr>
      <w:sz w:val="18"/>
      <w:szCs w:val="18"/>
    </w:rPr>
  </w:style>
  <w:style w:type="table" w:styleId="a5">
    <w:name w:val="Table Grid"/>
    <w:basedOn w:val="a1"/>
    <w:rsid w:val="008154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9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549D"/>
    <w:rPr>
      <w:sz w:val="18"/>
      <w:szCs w:val="18"/>
    </w:rPr>
  </w:style>
  <w:style w:type="paragraph" w:styleId="a4">
    <w:name w:val="footer"/>
    <w:basedOn w:val="a"/>
    <w:link w:val="Char0"/>
    <w:uiPriority w:val="99"/>
    <w:unhideWhenUsed/>
    <w:rsid w:val="00815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549D"/>
    <w:rPr>
      <w:sz w:val="18"/>
      <w:szCs w:val="18"/>
    </w:rPr>
  </w:style>
  <w:style w:type="table" w:styleId="a5">
    <w:name w:val="Table Grid"/>
    <w:basedOn w:val="a1"/>
    <w:rsid w:val="008154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A64C-5D30-48F1-AF47-2E85E461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Company>China</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2014-03-27T08:22:00Z</dcterms:created>
  <dcterms:modified xsi:type="dcterms:W3CDTF">2014-04-14T02:13:00Z</dcterms:modified>
</cp:coreProperties>
</file>